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710DB" w14:paraId="4340A50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40A504" w14:textId="77777777" w:rsidR="000710DB" w:rsidRDefault="00592D4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340A505" w14:textId="77777777" w:rsidR="000710DB" w:rsidRDefault="00592D4C">
            <w:pPr>
              <w:spacing w:after="0" w:line="240" w:lineRule="auto"/>
            </w:pPr>
            <w:r>
              <w:t>8481</w:t>
            </w:r>
          </w:p>
        </w:tc>
      </w:tr>
      <w:tr w:rsidR="000710DB" w14:paraId="4340A50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40A507" w14:textId="77777777" w:rsidR="000710DB" w:rsidRDefault="00592D4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340A508" w14:textId="77777777" w:rsidR="000710DB" w:rsidRDefault="00592D4C">
            <w:pPr>
              <w:spacing w:after="0" w:line="240" w:lineRule="auto"/>
            </w:pPr>
            <w:r>
              <w:t>OSNOVNA ŠKOLA MATE LOVRAKA</w:t>
            </w:r>
          </w:p>
        </w:tc>
      </w:tr>
      <w:tr w:rsidR="000710DB" w14:paraId="4340A50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40A50A" w14:textId="77777777" w:rsidR="000710DB" w:rsidRDefault="00592D4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340A50B" w14:textId="77777777" w:rsidR="000710DB" w:rsidRDefault="00592D4C">
            <w:pPr>
              <w:spacing w:after="0" w:line="240" w:lineRule="auto"/>
            </w:pPr>
            <w:r>
              <w:t>31</w:t>
            </w:r>
          </w:p>
        </w:tc>
      </w:tr>
    </w:tbl>
    <w:p w14:paraId="4340A50D" w14:textId="77777777" w:rsidR="000710DB" w:rsidRDefault="00592D4C">
      <w:r>
        <w:br/>
      </w:r>
    </w:p>
    <w:p w14:paraId="4340A50E" w14:textId="77777777" w:rsidR="000710DB" w:rsidRDefault="00592D4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340A50F" w14:textId="77777777" w:rsidR="000710DB" w:rsidRDefault="00592D4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340A510" w14:textId="77777777" w:rsidR="000710DB" w:rsidRDefault="00592D4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340A511" w14:textId="77777777" w:rsidR="000710DB" w:rsidRDefault="000710DB"/>
    <w:p w14:paraId="4340A512" w14:textId="77777777" w:rsidR="000710DB" w:rsidRDefault="00592D4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340A513" w14:textId="77777777" w:rsidR="000710DB" w:rsidRDefault="00592D4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10DB" w14:paraId="4340A5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14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15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16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17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18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19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10DB" w14:paraId="4340A5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1B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1C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1D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1E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1.562.073,92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1F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1.624.398,29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20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  <w:tr w:rsidR="000710DB" w14:paraId="4340A5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22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23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24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25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1.512.581,17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26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1.738.533,32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27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  <w:tr w:rsidR="000710DB" w14:paraId="4340A5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29" w14:textId="77777777" w:rsidR="000710DB" w:rsidRDefault="00071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2A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2B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2C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2D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114.135,03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2E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710DB" w14:paraId="4340A5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30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31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32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33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34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35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10DB" w14:paraId="4340A5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37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38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39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3A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31.491,81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3B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62.768,82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3C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199,3</w:t>
            </w:r>
          </w:p>
        </w:tc>
      </w:tr>
      <w:tr w:rsidR="000710DB" w14:paraId="4340A5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3E" w14:textId="77777777" w:rsidR="000710DB" w:rsidRDefault="00071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3F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40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41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31.491,81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42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62.768,82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43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199,3</w:t>
            </w:r>
          </w:p>
        </w:tc>
      </w:tr>
      <w:tr w:rsidR="000710DB" w14:paraId="4340A5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45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46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47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48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49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4A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10DB" w14:paraId="4340A5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4C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4D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4E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4F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50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51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10DB" w14:paraId="4340A5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53" w14:textId="77777777" w:rsidR="000710DB" w:rsidRDefault="00071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54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55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56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57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58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710DB" w14:paraId="4340A5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5A" w14:textId="77777777" w:rsidR="000710DB" w:rsidRDefault="00071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5B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5C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5D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5E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176.903,85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5F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340A561" w14:textId="77777777" w:rsidR="000710DB" w:rsidRDefault="000710DB">
      <w:pPr>
        <w:spacing w:after="0"/>
      </w:pPr>
    </w:p>
    <w:p w14:paraId="4340A562" w14:textId="254E4F1A" w:rsidR="000710DB" w:rsidRDefault="00592D4C">
      <w:r>
        <w:t xml:space="preserve">Ukupni prihodi ostvareni tijekom izvještajnog razdoblja iznose 1.624.398,29 eura.  Ukupni rashodi iznose </w:t>
      </w:r>
      <w:r w:rsidR="001E311C">
        <w:t xml:space="preserve">1.738.533,32 eura.  Ostvaren je </w:t>
      </w:r>
      <w:r>
        <w:t xml:space="preserve">manjak prihoda od nefinancijske imovine u iznosu 62.768,82 eura. Ukupni manjak prihoda i primitaka nastao je knjiženjem jedne plaće više </w:t>
      </w:r>
      <w:r w:rsidR="001E311C">
        <w:t xml:space="preserve">s </w:t>
      </w:r>
      <w:r>
        <w:t xml:space="preserve">obzirom na novi Pravilnik o financijskom izvještavanju proračunskom računovodstvu koji je objavljen u Narodnim novinama 52/25. Plaća se više ne knjiži preko </w:t>
      </w:r>
      <w:r w:rsidR="001E311C">
        <w:t xml:space="preserve">konta </w:t>
      </w:r>
      <w:r>
        <w:t>193, nego direktno na trošak poslovanj</w:t>
      </w:r>
      <w:r w:rsidR="001E311C">
        <w:t>a, odnosno rashode zaposlenih. Ma</w:t>
      </w:r>
      <w:r>
        <w:t xml:space="preserve">njak prihoda i primitaka </w:t>
      </w:r>
      <w:r w:rsidR="001E311C">
        <w:t>uključuje</w:t>
      </w:r>
      <w:r>
        <w:t xml:space="preserve"> </w:t>
      </w:r>
      <w:r w:rsidR="001E311C">
        <w:t xml:space="preserve">i </w:t>
      </w:r>
      <w:r>
        <w:t xml:space="preserve">knjiženje računa koji se odnose na nabavku potrebne opreme i materijala za </w:t>
      </w:r>
      <w:r>
        <w:lastRenderedPageBreak/>
        <w:t>provedbu B1 aktivnosti, ali odlukom Ministarstva</w:t>
      </w:r>
      <w:r w:rsidR="001E311C">
        <w:t>, znanosti,</w:t>
      </w:r>
      <w:r>
        <w:t xml:space="preserve"> obrazovanja i mladih dobili smo samo jedan dio novčanih sredstava za B1 aktivnost, dok će drugi dio temeljem Odluke biti isp</w:t>
      </w:r>
      <w:r w:rsidR="001E311C">
        <w:t xml:space="preserve">laćen tijekom I. kvartala 2026 te dodatno uključuje račune za provedbu </w:t>
      </w:r>
      <w:r>
        <w:t xml:space="preserve">B2 aktivnost koja se počela provoditi od nove školske godine, zahtjevi za plaćanje odnosno računi su pristigli </w:t>
      </w:r>
      <w:r w:rsidR="001E311C">
        <w:t>zadnjeg kvartala u</w:t>
      </w:r>
      <w:r>
        <w:t xml:space="preserve"> 2025. godini, te Odlukom Ministarstva sredstva</w:t>
      </w:r>
      <w:r w:rsidR="001E311C">
        <w:t xml:space="preserve"> će</w:t>
      </w:r>
      <w:r>
        <w:t xml:space="preserve"> </w:t>
      </w:r>
      <w:r w:rsidR="001E311C">
        <w:t xml:space="preserve">se </w:t>
      </w:r>
      <w:r>
        <w:t>doznačiti tijekom I. kvartala 2026. godine.</w:t>
      </w:r>
      <w:r w:rsidR="001E311C">
        <w:t xml:space="preserve"> Temeljem Odluke Ministarstva troškovi za B1 i B2 aktivnosti prihvatljivi su od 1.9.2025. godine.</w:t>
      </w:r>
    </w:p>
    <w:p w14:paraId="4340A563" w14:textId="77777777" w:rsidR="000710DB" w:rsidRDefault="00592D4C">
      <w:r>
        <w:br/>
      </w:r>
    </w:p>
    <w:p w14:paraId="4340A564" w14:textId="77777777" w:rsidR="000710DB" w:rsidRDefault="00592D4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340A565" w14:textId="77777777" w:rsidR="000710DB" w:rsidRDefault="00592D4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710DB" w14:paraId="4340A5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66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67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68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69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A56A" w14:textId="77777777" w:rsidR="000710DB" w:rsidRDefault="00592D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10DB" w14:paraId="4340A5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6C" w14:textId="77777777" w:rsidR="000710DB" w:rsidRDefault="00071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0A56D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6E" w14:textId="77777777" w:rsidR="000710DB" w:rsidRDefault="00592D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0A56F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33.541,54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570" w14:textId="77777777" w:rsidR="000710DB" w:rsidRDefault="00592D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40A572" w14:textId="77777777" w:rsidR="000710DB" w:rsidRDefault="000710DB">
      <w:pPr>
        <w:spacing w:after="0"/>
      </w:pPr>
    </w:p>
    <w:p w14:paraId="4340A573" w14:textId="7042D2A3" w:rsidR="000710DB" w:rsidRDefault="00592D4C">
      <w:r>
        <w:t>Stanje dospjelih obveza na kraju izvještajnog razdoblja se odnose na račune koji su pristigli za nabavku potrebne opreme i materijala za provedbu B1 i B2 aktivnosti, ali će se plaća</w:t>
      </w:r>
      <w:r w:rsidR="001E311C">
        <w:t xml:space="preserve">nje izvršiti u 2026. godini po doznaci sredstava od </w:t>
      </w:r>
      <w:r w:rsidR="00BF23C8">
        <w:t>Ministarstva</w:t>
      </w:r>
      <w:r w:rsidR="001E311C">
        <w:t xml:space="preserve"> znanosti, obrazovanja i mladih. Obveze uključuju i troškove</w:t>
      </w:r>
      <w:r>
        <w:t xml:space="preserve"> prehrane koj</w:t>
      </w:r>
      <w:r w:rsidR="001E311C">
        <w:t>i se odnose</w:t>
      </w:r>
      <w:r>
        <w:t xml:space="preserve"> na 12 mjesec te </w:t>
      </w:r>
      <w:r w:rsidR="001E311C">
        <w:t>proknjiženi računi materijalnih troškova koji se financiraju iz decentraliziranih sredstava.</w:t>
      </w:r>
    </w:p>
    <w:p w14:paraId="4340A578" w14:textId="2D522D30" w:rsidR="000710DB" w:rsidRDefault="00592D4C">
      <w:r>
        <w:t> </w:t>
      </w:r>
    </w:p>
    <w:p w14:paraId="4340A579" w14:textId="77777777" w:rsidR="000710DB" w:rsidRDefault="00592D4C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4340A57A" w14:textId="77777777" w:rsidR="000710DB" w:rsidRDefault="00592D4C">
      <w:pPr>
        <w:spacing w:line="240" w:lineRule="auto"/>
        <w:jc w:val="both"/>
      </w:pPr>
      <w:r>
        <w:rPr>
          <w:b/>
        </w:rPr>
        <w:t>EU izvještaj</w:t>
      </w:r>
    </w:p>
    <w:p w14:paraId="4340A57B" w14:textId="7FD07F12" w:rsidR="000710DB" w:rsidRDefault="00592D4C" w:rsidP="001E311C">
      <w:r>
        <w:t xml:space="preserve">Temeljem projekta </w:t>
      </w:r>
      <w:r w:rsidR="001E311C">
        <w:t xml:space="preserve">„Uz potporu sve je moguće, faza </w:t>
      </w:r>
      <w:r w:rsidR="001E311C">
        <w:t>VII</w:t>
      </w:r>
      <w:r w:rsidR="001E311C">
        <w:t>“</w:t>
      </w:r>
      <w:r>
        <w:t xml:space="preserve"> tijekom 2025. godine bilo je zaposleno 3 pomoćnika u nastavi. Rashodi za pomoćnike na izvoru 56 iznosili su 27.609,40 eura, dok su ukupni prihodi za pomoćnike iznosili 24.300,02 eura. Razlika se također javlja u knjiženju jedne plaće više temeljem novog Pravilnika o proračunskog računovodstva.</w:t>
      </w:r>
      <w:bookmarkStart w:id="0" w:name="_GoBack"/>
      <w:bookmarkEnd w:id="0"/>
    </w:p>
    <w:p w14:paraId="4340A57C" w14:textId="77777777" w:rsidR="000710DB" w:rsidRDefault="000710DB"/>
    <w:sectPr w:rsidR="0007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10DB"/>
    <w:rsid w:val="000710DB"/>
    <w:rsid w:val="001E311C"/>
    <w:rsid w:val="00592D4C"/>
    <w:rsid w:val="00B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A504"/>
  <w15:docId w15:val="{E58B0D73-7DBE-4C6D-B344-A233A703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Balen</cp:lastModifiedBy>
  <cp:revision>4</cp:revision>
  <dcterms:created xsi:type="dcterms:W3CDTF">2026-01-28T13:28:00Z</dcterms:created>
  <dcterms:modified xsi:type="dcterms:W3CDTF">2026-01-28T13:57:00Z</dcterms:modified>
</cp:coreProperties>
</file>